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2" w:rsidRDefault="00052A92" w:rsidP="00E04FB1">
      <w:pPr>
        <w:ind w:left="1980" w:hanging="900"/>
        <w:jc w:val="both"/>
        <w:rPr>
          <w:rFonts w:ascii="Arial" w:hAnsi="Arial" w:cs="Arial"/>
          <w:b/>
          <w:sz w:val="24"/>
          <w:szCs w:val="24"/>
        </w:rPr>
      </w:pPr>
    </w:p>
    <w:p w:rsidR="00052A92" w:rsidRDefault="00052A92" w:rsidP="00E04FB1">
      <w:pPr>
        <w:ind w:left="1980" w:hanging="900"/>
        <w:jc w:val="both"/>
        <w:rPr>
          <w:rFonts w:ascii="Arial" w:hAnsi="Arial" w:cs="Arial"/>
          <w:b/>
          <w:sz w:val="24"/>
          <w:szCs w:val="24"/>
        </w:rPr>
      </w:pPr>
    </w:p>
    <w:p w:rsidR="00052A92" w:rsidRDefault="00052A92" w:rsidP="00E04FB1">
      <w:pPr>
        <w:ind w:left="1980" w:hanging="900"/>
        <w:jc w:val="both"/>
        <w:rPr>
          <w:rFonts w:ascii="Arial" w:hAnsi="Arial" w:cs="Arial"/>
          <w:b/>
          <w:sz w:val="24"/>
          <w:szCs w:val="24"/>
        </w:rPr>
      </w:pPr>
    </w:p>
    <w:p w:rsidR="00E04FB1" w:rsidRPr="000378AF" w:rsidRDefault="00E04FB1" w:rsidP="00E04FB1">
      <w:pPr>
        <w:ind w:left="1980" w:hanging="900"/>
        <w:jc w:val="both"/>
        <w:rPr>
          <w:rFonts w:ascii="Arial" w:hAnsi="Arial" w:cs="Arial"/>
          <w:b/>
          <w:sz w:val="24"/>
          <w:szCs w:val="24"/>
        </w:rPr>
      </w:pPr>
      <w:r w:rsidRPr="000378AF">
        <w:rPr>
          <w:rFonts w:ascii="Arial" w:hAnsi="Arial" w:cs="Arial"/>
          <w:b/>
          <w:sz w:val="24"/>
          <w:szCs w:val="24"/>
        </w:rPr>
        <w:t xml:space="preserve">5.II.6 </w:t>
      </w:r>
      <w:r w:rsidRPr="000378AF">
        <w:rPr>
          <w:rFonts w:ascii="Arial" w:hAnsi="Arial" w:cs="Arial"/>
          <w:b/>
          <w:sz w:val="24"/>
          <w:szCs w:val="24"/>
        </w:rPr>
        <w:tab/>
        <w:t xml:space="preserve">Programa de difusión y divulgación     </w:t>
      </w:r>
    </w:p>
    <w:p w:rsidR="00E04FB1" w:rsidRPr="000378AF" w:rsidRDefault="00E04FB1" w:rsidP="00E04FB1">
      <w:pPr>
        <w:ind w:left="1980" w:hanging="900"/>
        <w:jc w:val="center"/>
        <w:rPr>
          <w:rFonts w:ascii="Arial" w:hAnsi="Arial" w:cs="Arial"/>
          <w:b/>
          <w:sz w:val="24"/>
          <w:szCs w:val="24"/>
        </w:rPr>
      </w:pPr>
    </w:p>
    <w:p w:rsidR="00E04FB1" w:rsidRDefault="00E04FB1" w:rsidP="00E04FB1">
      <w:pPr>
        <w:jc w:val="both"/>
        <w:rPr>
          <w:rFonts w:ascii="Arial" w:hAnsi="Arial" w:cs="Arial"/>
          <w:sz w:val="24"/>
          <w:szCs w:val="24"/>
          <w:lang w:val="es-MX"/>
        </w:rPr>
      </w:pPr>
      <w:r>
        <w:rPr>
          <w:rFonts w:ascii="Arial" w:hAnsi="Arial" w:cs="Arial"/>
          <w:sz w:val="24"/>
          <w:szCs w:val="24"/>
          <w:lang w:val="es-MX"/>
        </w:rPr>
        <w:t xml:space="preserve">Se elaboraron un total de 17 boletines de prensa y se atendieron 24 solicitudes de entrevistas o información, lo que produjo 260 impactos o noticias del Cinvestav en los medios de comunicación, varios de ellos, internacionales de gran penetración como CNN (Estados Unidos), BBC (Inglaterra), Terra, Yahoo, El País (España), EFE (España) y Radio Nacional de Colombia. </w:t>
      </w:r>
    </w:p>
    <w:p w:rsidR="00E04FB1" w:rsidRDefault="00E04FB1" w:rsidP="00E04FB1">
      <w:pPr>
        <w:jc w:val="both"/>
        <w:rPr>
          <w:rFonts w:ascii="Arial" w:hAnsi="Arial" w:cs="Arial"/>
          <w:sz w:val="24"/>
          <w:szCs w:val="24"/>
          <w:lang w:val="es-MX"/>
        </w:rPr>
      </w:pPr>
    </w:p>
    <w:p w:rsidR="00E04FB1" w:rsidRDefault="00E04FB1" w:rsidP="00E04FB1">
      <w:pPr>
        <w:jc w:val="both"/>
        <w:rPr>
          <w:rFonts w:ascii="Arial" w:hAnsi="Arial" w:cs="Arial"/>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2091"/>
        <w:gridCol w:w="2091"/>
        <w:gridCol w:w="2092"/>
      </w:tblGrid>
      <w:tr w:rsidR="00E04FB1" w:rsidRPr="00115EE6" w:rsidTr="00E04FB1">
        <w:trPr>
          <w:jc w:val="center"/>
        </w:trPr>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Enero</w:t>
            </w:r>
          </w:p>
        </w:tc>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Febrero</w:t>
            </w:r>
          </w:p>
        </w:tc>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Marzo</w:t>
            </w:r>
          </w:p>
        </w:tc>
        <w:tc>
          <w:tcPr>
            <w:tcW w:w="2092"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Total</w:t>
            </w:r>
          </w:p>
        </w:tc>
      </w:tr>
      <w:tr w:rsidR="00E04FB1" w:rsidRPr="00115EE6" w:rsidTr="00E04FB1">
        <w:trPr>
          <w:jc w:val="center"/>
        </w:trPr>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57</w:t>
            </w:r>
          </w:p>
        </w:tc>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65</w:t>
            </w:r>
          </w:p>
        </w:tc>
        <w:tc>
          <w:tcPr>
            <w:tcW w:w="2091"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138</w:t>
            </w:r>
          </w:p>
        </w:tc>
        <w:tc>
          <w:tcPr>
            <w:tcW w:w="2092" w:type="dxa"/>
          </w:tcPr>
          <w:p w:rsidR="00E04FB1" w:rsidRPr="00115EE6" w:rsidRDefault="00E04FB1" w:rsidP="00E04FB1">
            <w:pPr>
              <w:jc w:val="both"/>
              <w:rPr>
                <w:rFonts w:ascii="Arial" w:hAnsi="Arial" w:cs="Arial"/>
                <w:sz w:val="24"/>
                <w:szCs w:val="24"/>
                <w:lang w:val="es-MX"/>
              </w:rPr>
            </w:pPr>
            <w:r w:rsidRPr="00115EE6">
              <w:rPr>
                <w:rFonts w:ascii="Arial" w:hAnsi="Arial" w:cs="Arial"/>
                <w:sz w:val="24"/>
                <w:szCs w:val="24"/>
                <w:lang w:val="es-MX"/>
              </w:rPr>
              <w:t>260</w:t>
            </w:r>
          </w:p>
        </w:tc>
      </w:tr>
    </w:tbl>
    <w:p w:rsidR="00E04FB1" w:rsidRDefault="00E04FB1" w:rsidP="00E04FB1">
      <w:pPr>
        <w:jc w:val="both"/>
        <w:rPr>
          <w:rFonts w:ascii="Arial" w:hAnsi="Arial" w:cs="Arial"/>
          <w:sz w:val="24"/>
          <w:szCs w:val="24"/>
          <w:lang w:val="es-MX"/>
        </w:rPr>
      </w:pPr>
    </w:p>
    <w:p w:rsidR="00E04FB1" w:rsidRDefault="00E04FB1" w:rsidP="00E04FB1">
      <w:pPr>
        <w:jc w:val="both"/>
        <w:rPr>
          <w:rFonts w:ascii="Arial" w:hAnsi="Arial" w:cs="Arial"/>
          <w:sz w:val="24"/>
          <w:szCs w:val="24"/>
          <w:lang w:val="es-MX"/>
        </w:rPr>
      </w:pPr>
      <w:r>
        <w:rPr>
          <w:rFonts w:ascii="Arial" w:hAnsi="Arial" w:cs="Arial"/>
          <w:sz w:val="24"/>
          <w:szCs w:val="24"/>
          <w:lang w:val="es-MX"/>
        </w:rPr>
        <w:t>Lo anterior representa una cifra sin precedentes para el Cinvestav en un primer trimestre de año, tanto por el número de impactos, como por la penetración y alcance de los medios que publicaron o transmitieron noticias de la institución, porque en el plano nacional medios periodísticos como  Reforma, El Universal, MVS, Televisa, TV Azteca, Canal 22, La Jornada, ACIR, IMER, La Crónica y Milenio, se ocuparon de difundir noticias del Centro.</w:t>
      </w:r>
    </w:p>
    <w:p w:rsidR="00E04FB1" w:rsidRDefault="00E04FB1" w:rsidP="00E04FB1">
      <w:pPr>
        <w:jc w:val="both"/>
        <w:rPr>
          <w:rFonts w:ascii="Arial" w:hAnsi="Arial" w:cs="Arial"/>
          <w:sz w:val="24"/>
          <w:szCs w:val="24"/>
          <w:lang w:val="es-MX"/>
        </w:rPr>
      </w:pPr>
    </w:p>
    <w:p w:rsidR="00E04FB1" w:rsidRDefault="00E04FB1" w:rsidP="00E04FB1">
      <w:pPr>
        <w:jc w:val="both"/>
        <w:rPr>
          <w:rFonts w:ascii="Arial" w:hAnsi="Arial" w:cs="Arial"/>
          <w:sz w:val="24"/>
          <w:szCs w:val="24"/>
          <w:lang w:val="es-MX"/>
        </w:rPr>
      </w:pPr>
      <w:r>
        <w:rPr>
          <w:rFonts w:ascii="Arial" w:hAnsi="Arial" w:cs="Arial"/>
          <w:sz w:val="24"/>
          <w:szCs w:val="24"/>
          <w:lang w:val="es-MX"/>
        </w:rPr>
        <w:t>Dicha cifra representa un incremento de más de 300% comparada con el mismo periodo del año pasado y más de un 1000% de aumento si tomamos en cuenta el primer trimestre del  2008, cuando se obtuvieron 22 impactos en prensa.</w:t>
      </w:r>
    </w:p>
    <w:p w:rsidR="00E04FB1" w:rsidRDefault="00E04FB1" w:rsidP="00E04FB1">
      <w:pPr>
        <w:jc w:val="both"/>
        <w:rPr>
          <w:rFonts w:ascii="Arial" w:hAnsi="Arial" w:cs="Arial"/>
          <w:sz w:val="24"/>
          <w:szCs w:val="24"/>
          <w:lang w:val="es-MX"/>
        </w:rPr>
      </w:pPr>
    </w:p>
    <w:p w:rsidR="00E04FB1" w:rsidRDefault="00E04FB1" w:rsidP="00E04FB1">
      <w:pPr>
        <w:jc w:val="both"/>
        <w:rPr>
          <w:rFonts w:ascii="Arial" w:hAnsi="Arial" w:cs="Arial"/>
          <w:sz w:val="24"/>
          <w:szCs w:val="24"/>
          <w:lang w:val="es-MX"/>
        </w:rPr>
      </w:pPr>
      <w:r>
        <w:rPr>
          <w:rFonts w:ascii="Arial" w:hAnsi="Arial" w:cs="Arial"/>
          <w:sz w:val="24"/>
          <w:szCs w:val="24"/>
          <w:lang w:val="es-MX"/>
        </w:rPr>
        <w:t>Hay que destacar que importantes diarios del interior del país como El Diario de Coahuila, NTR Zacatecas, El Dictamen, El Informador, OPVER, Síntesis y A.M, transmitieron y publicaron información del Cinvestav.</w:t>
      </w:r>
    </w:p>
    <w:p w:rsidR="00E04FB1" w:rsidRDefault="00E04FB1" w:rsidP="00E04FB1">
      <w:pPr>
        <w:jc w:val="both"/>
        <w:rPr>
          <w:rFonts w:ascii="Arial" w:hAnsi="Arial" w:cs="Arial"/>
          <w:sz w:val="24"/>
          <w:szCs w:val="24"/>
          <w:lang w:val="es-MX"/>
        </w:rPr>
      </w:pPr>
    </w:p>
    <w:p w:rsidR="00E04FB1" w:rsidRPr="000157DB" w:rsidRDefault="00E04FB1" w:rsidP="00E04FB1">
      <w:pPr>
        <w:rPr>
          <w:rFonts w:ascii="Arial" w:hAnsi="Arial" w:cs="Arial"/>
          <w:sz w:val="24"/>
          <w:szCs w:val="24"/>
          <w:lang w:val="es-MX"/>
        </w:rPr>
      </w:pPr>
    </w:p>
    <w:p w:rsidR="00E04FB1" w:rsidRPr="000157DB" w:rsidRDefault="00E04FB1" w:rsidP="00E04FB1">
      <w:pPr>
        <w:rPr>
          <w:rFonts w:ascii="Arial" w:hAnsi="Arial" w:cs="Arial"/>
          <w:b/>
          <w:sz w:val="24"/>
          <w:szCs w:val="24"/>
        </w:rPr>
      </w:pPr>
      <w:r w:rsidRPr="000157DB">
        <w:rPr>
          <w:rFonts w:ascii="Arial" w:hAnsi="Arial" w:cs="Arial"/>
          <w:b/>
          <w:sz w:val="24"/>
          <w:szCs w:val="24"/>
        </w:rPr>
        <w:t>a.</w:t>
      </w:r>
      <w:r w:rsidRPr="000157DB">
        <w:rPr>
          <w:rFonts w:ascii="Arial" w:hAnsi="Arial" w:cs="Arial"/>
          <w:b/>
          <w:sz w:val="24"/>
          <w:szCs w:val="24"/>
        </w:rPr>
        <w:tab/>
        <w:t>Eventos académicos, científicos, tecnológicos y culturales</w:t>
      </w:r>
    </w:p>
    <w:p w:rsidR="00E04FB1" w:rsidRPr="000157DB" w:rsidRDefault="00E04FB1" w:rsidP="00E04FB1">
      <w:pPr>
        <w:rPr>
          <w:rFonts w:ascii="Arial" w:hAnsi="Arial" w:cs="Arial"/>
          <w:sz w:val="24"/>
          <w:szCs w:val="24"/>
        </w:rPr>
      </w:pPr>
    </w:p>
    <w:p w:rsidR="00E04FB1" w:rsidRDefault="00E04FB1" w:rsidP="00E04FB1">
      <w:pPr>
        <w:rPr>
          <w:rFonts w:ascii="Arial" w:hAnsi="Arial" w:cs="Arial"/>
          <w:sz w:val="24"/>
          <w:szCs w:val="24"/>
        </w:rPr>
      </w:pPr>
      <w:r w:rsidRPr="000157DB">
        <w:rPr>
          <w:rFonts w:ascii="Arial" w:hAnsi="Arial" w:cs="Arial"/>
          <w:sz w:val="24"/>
          <w:szCs w:val="24"/>
        </w:rPr>
        <w:t xml:space="preserve">Cinvestav concedió </w:t>
      </w:r>
      <w:r>
        <w:rPr>
          <w:rFonts w:ascii="Arial" w:hAnsi="Arial" w:cs="Arial"/>
          <w:sz w:val="24"/>
          <w:szCs w:val="24"/>
        </w:rPr>
        <w:t xml:space="preserve">su tercer </w:t>
      </w:r>
      <w:r w:rsidRPr="000157DB">
        <w:rPr>
          <w:rFonts w:ascii="Arial" w:hAnsi="Arial" w:cs="Arial"/>
          <w:sz w:val="24"/>
          <w:szCs w:val="24"/>
        </w:rPr>
        <w:t>doctorado Honor</w:t>
      </w:r>
      <w:r>
        <w:rPr>
          <w:rFonts w:ascii="Arial" w:hAnsi="Arial" w:cs="Arial"/>
          <w:sz w:val="24"/>
          <w:szCs w:val="24"/>
        </w:rPr>
        <w:t>is Causa, el pasado 12 de marzo, en esta ocasión al Ing. Eugenio Méndez Docurro, creador de diversas instituciones educativas en México, entre ellas,  el Consejo Nacional de Ciencia y Tecnología y el Cinvestav, además de funcionario, promotor de la educación en México y pionero de las telecomunicaciones en México.</w:t>
      </w:r>
    </w:p>
    <w:p w:rsidR="00E04FB1" w:rsidRDefault="00E04FB1" w:rsidP="00E04FB1">
      <w:pPr>
        <w:rPr>
          <w:rFonts w:ascii="Arial" w:hAnsi="Arial" w:cs="Arial"/>
          <w:sz w:val="24"/>
          <w:szCs w:val="24"/>
        </w:rPr>
      </w:pPr>
    </w:p>
    <w:p w:rsidR="00E04FB1" w:rsidRPr="005B5D30" w:rsidRDefault="00E04FB1" w:rsidP="00E04FB1">
      <w:pPr>
        <w:jc w:val="both"/>
        <w:rPr>
          <w:rFonts w:ascii="Arial" w:hAnsi="Arial" w:cs="Arial"/>
          <w:sz w:val="24"/>
          <w:szCs w:val="24"/>
        </w:rPr>
      </w:pPr>
      <w:r w:rsidRPr="005B5D30">
        <w:rPr>
          <w:rFonts w:ascii="Arial" w:hAnsi="Arial" w:cs="Arial"/>
          <w:sz w:val="24"/>
          <w:szCs w:val="24"/>
        </w:rPr>
        <w:t>E</w:t>
      </w:r>
      <w:r>
        <w:rPr>
          <w:rFonts w:ascii="Arial" w:hAnsi="Arial" w:cs="Arial"/>
          <w:sz w:val="24"/>
          <w:szCs w:val="24"/>
        </w:rPr>
        <w:t>l 22 de febrero la Comisión de C</w:t>
      </w:r>
      <w:r w:rsidRPr="005B5D30">
        <w:rPr>
          <w:rFonts w:ascii="Arial" w:hAnsi="Arial" w:cs="Arial"/>
          <w:sz w:val="24"/>
          <w:szCs w:val="24"/>
        </w:rPr>
        <w:t>iencia y Tecnología de la H. Cámara de Diputados de la LXI Legislatura, visitó el Cinvestav Zacatenco</w:t>
      </w:r>
      <w:r>
        <w:rPr>
          <w:rFonts w:ascii="Arial" w:hAnsi="Arial" w:cs="Arial"/>
          <w:sz w:val="24"/>
          <w:szCs w:val="24"/>
        </w:rPr>
        <w:t>, para conocer a</w:t>
      </w:r>
      <w:r w:rsidRPr="005B5D30">
        <w:rPr>
          <w:rFonts w:ascii="Arial" w:hAnsi="Arial" w:cs="Arial"/>
          <w:sz w:val="24"/>
          <w:szCs w:val="24"/>
        </w:rPr>
        <w:t xml:space="preserve">lgunos de los proyectos más relevantes que se </w:t>
      </w:r>
      <w:r>
        <w:rPr>
          <w:rFonts w:ascii="Arial" w:hAnsi="Arial" w:cs="Arial"/>
          <w:sz w:val="24"/>
          <w:szCs w:val="24"/>
        </w:rPr>
        <w:t xml:space="preserve">realizan en este Centro, de las áreas de salud,  educación y </w:t>
      </w:r>
      <w:r w:rsidRPr="005B5D30">
        <w:rPr>
          <w:rFonts w:ascii="Arial" w:hAnsi="Arial" w:cs="Arial"/>
          <w:sz w:val="24"/>
          <w:szCs w:val="24"/>
        </w:rPr>
        <w:t xml:space="preserve">desarrollo sustentable. </w:t>
      </w:r>
      <w:r>
        <w:rPr>
          <w:rFonts w:ascii="Arial" w:hAnsi="Arial" w:cs="Arial"/>
          <w:sz w:val="24"/>
          <w:szCs w:val="24"/>
        </w:rPr>
        <w:t xml:space="preserve">En la reunión </w:t>
      </w:r>
      <w:r w:rsidRPr="005B5D30">
        <w:rPr>
          <w:rFonts w:ascii="Arial" w:hAnsi="Arial" w:cs="Arial"/>
          <w:sz w:val="24"/>
          <w:szCs w:val="24"/>
        </w:rPr>
        <w:t xml:space="preserve">los </w:t>
      </w:r>
      <w:r>
        <w:rPr>
          <w:rFonts w:ascii="Arial" w:hAnsi="Arial" w:cs="Arial"/>
          <w:sz w:val="24"/>
          <w:szCs w:val="24"/>
        </w:rPr>
        <w:t xml:space="preserve">legisladores </w:t>
      </w:r>
      <w:r w:rsidRPr="005B5D30">
        <w:rPr>
          <w:rFonts w:ascii="Arial" w:hAnsi="Arial" w:cs="Arial"/>
          <w:sz w:val="24"/>
          <w:szCs w:val="24"/>
        </w:rPr>
        <w:t xml:space="preserve">hicieron patente su apoyo y reconocimiento al Cinvestav y se comprometieron a asegurar recursos que permitan mantener a la ciencia y la tecnología como motores del desarrollo de México. </w:t>
      </w:r>
    </w:p>
    <w:p w:rsidR="00E04FB1" w:rsidRPr="005B5D30" w:rsidRDefault="00E04FB1" w:rsidP="00E04FB1">
      <w:pPr>
        <w:jc w:val="both"/>
        <w:rPr>
          <w:rFonts w:ascii="Arial" w:hAnsi="Arial" w:cs="Arial"/>
          <w:sz w:val="24"/>
          <w:szCs w:val="24"/>
        </w:rPr>
      </w:pPr>
    </w:p>
    <w:p w:rsidR="00E04FB1" w:rsidRPr="005B5D30" w:rsidRDefault="00E04FB1" w:rsidP="00052A92">
      <w:pPr>
        <w:jc w:val="both"/>
        <w:rPr>
          <w:rFonts w:ascii="Arial" w:hAnsi="Arial" w:cs="Arial"/>
          <w:sz w:val="24"/>
          <w:szCs w:val="24"/>
        </w:rPr>
      </w:pPr>
      <w:r w:rsidRPr="005B5D30">
        <w:rPr>
          <w:rFonts w:ascii="Arial" w:hAnsi="Arial" w:cs="Arial"/>
          <w:sz w:val="24"/>
          <w:szCs w:val="24"/>
        </w:rPr>
        <w:t>Como parte de la promoción y difusión de los programas del Centro, el Área Biológica del Cinvestav organizó el Biocinves 2010</w:t>
      </w:r>
      <w:r>
        <w:rPr>
          <w:rFonts w:ascii="Arial" w:hAnsi="Arial" w:cs="Arial"/>
          <w:sz w:val="24"/>
          <w:szCs w:val="24"/>
        </w:rPr>
        <w:t xml:space="preserve">, evento donde se dio a </w:t>
      </w:r>
      <w:r>
        <w:rPr>
          <w:rFonts w:ascii="Arial" w:hAnsi="Arial" w:cs="Arial"/>
          <w:sz w:val="24"/>
          <w:szCs w:val="24"/>
        </w:rPr>
        <w:lastRenderedPageBreak/>
        <w:t>conocer  la oferta educativa de esa á</w:t>
      </w:r>
      <w:r w:rsidRPr="005B5D30">
        <w:rPr>
          <w:rFonts w:ascii="Arial" w:hAnsi="Arial" w:cs="Arial"/>
          <w:sz w:val="24"/>
          <w:szCs w:val="24"/>
        </w:rPr>
        <w:t>rea. Biocinves</w:t>
      </w:r>
      <w:r>
        <w:rPr>
          <w:rFonts w:ascii="Arial" w:hAnsi="Arial" w:cs="Arial"/>
          <w:sz w:val="24"/>
          <w:szCs w:val="24"/>
        </w:rPr>
        <w:t xml:space="preserve"> tuvo sus sedes en las Unidades: </w:t>
      </w:r>
      <w:r w:rsidRPr="005B5D30">
        <w:rPr>
          <w:rFonts w:ascii="Arial" w:hAnsi="Arial" w:cs="Arial"/>
          <w:sz w:val="24"/>
          <w:szCs w:val="24"/>
        </w:rPr>
        <w:t xml:space="preserve">Mérida, Monterrey e Irapuato cuyos eventos se realizaron el 5, 17 y 26 de marzo respectivamente. El evento en Cinvestav Zacatenco se </w:t>
      </w:r>
      <w:r>
        <w:rPr>
          <w:rFonts w:ascii="Arial" w:hAnsi="Arial" w:cs="Arial"/>
          <w:sz w:val="24"/>
          <w:szCs w:val="24"/>
        </w:rPr>
        <w:t>verificó d</w:t>
      </w:r>
      <w:r w:rsidRPr="005B5D30">
        <w:rPr>
          <w:rFonts w:ascii="Arial" w:hAnsi="Arial" w:cs="Arial"/>
          <w:sz w:val="24"/>
          <w:szCs w:val="24"/>
        </w:rPr>
        <w:t>el 19 al 23 de abril</w:t>
      </w:r>
      <w:r>
        <w:rPr>
          <w:rFonts w:ascii="Arial" w:hAnsi="Arial" w:cs="Arial"/>
          <w:sz w:val="24"/>
          <w:szCs w:val="24"/>
        </w:rPr>
        <w:t>.</w:t>
      </w:r>
    </w:p>
    <w:p w:rsidR="00E04FB1" w:rsidRPr="000157DB" w:rsidRDefault="00E04FB1" w:rsidP="00E04FB1">
      <w:pPr>
        <w:rPr>
          <w:rFonts w:ascii="Arial" w:hAnsi="Arial" w:cs="Arial"/>
          <w:sz w:val="24"/>
          <w:szCs w:val="24"/>
        </w:rPr>
      </w:pPr>
    </w:p>
    <w:p w:rsidR="00E04FB1" w:rsidRPr="0035678E" w:rsidRDefault="00E04FB1" w:rsidP="00E04FB1">
      <w:pPr>
        <w:rPr>
          <w:rFonts w:ascii="Arial" w:hAnsi="Arial" w:cs="Arial"/>
          <w:b/>
          <w:sz w:val="24"/>
          <w:szCs w:val="24"/>
        </w:rPr>
      </w:pPr>
      <w:r w:rsidRPr="0035678E">
        <w:rPr>
          <w:rFonts w:ascii="Arial" w:hAnsi="Arial" w:cs="Arial"/>
          <w:b/>
          <w:sz w:val="24"/>
          <w:szCs w:val="24"/>
        </w:rPr>
        <w:t>Eventos para la promoción y difusión del Cinvestav</w:t>
      </w:r>
    </w:p>
    <w:p w:rsidR="00E04FB1" w:rsidRPr="005B5D30" w:rsidRDefault="00E04FB1" w:rsidP="00E04FB1">
      <w:pPr>
        <w:jc w:val="both"/>
        <w:rPr>
          <w:rFonts w:ascii="Arial" w:hAnsi="Arial" w:cs="Arial"/>
          <w:sz w:val="24"/>
          <w:szCs w:val="24"/>
        </w:rPr>
      </w:pPr>
      <w:r w:rsidRPr="005B5D30">
        <w:rPr>
          <w:rFonts w:ascii="Arial" w:hAnsi="Arial" w:cs="Arial"/>
          <w:sz w:val="24"/>
          <w:szCs w:val="24"/>
        </w:rPr>
        <w:t>El doctor Octavio Paredes López promovió la visita al Cinvestav de 40 jóvenes talentos del programa ASES (Apoyo a Sobresalientes del Estado de Sinaloa) que, durante un día –el 17 de febrero, tuvieron la oportunidad de conocer diversos proyectos científicos que se desarrollan en Cinvestav Zacatenco.</w:t>
      </w:r>
    </w:p>
    <w:p w:rsidR="00E04FB1" w:rsidRDefault="00E04FB1" w:rsidP="00E04FB1">
      <w:pPr>
        <w:rPr>
          <w:rFonts w:ascii="Arial" w:hAnsi="Arial" w:cs="Arial"/>
          <w:sz w:val="24"/>
          <w:szCs w:val="24"/>
        </w:rPr>
      </w:pPr>
    </w:p>
    <w:p w:rsidR="00E04FB1" w:rsidRDefault="00E04FB1" w:rsidP="00E04FB1">
      <w:pPr>
        <w:jc w:val="both"/>
        <w:rPr>
          <w:rFonts w:ascii="Arial" w:hAnsi="Arial" w:cs="Arial"/>
          <w:sz w:val="24"/>
          <w:szCs w:val="24"/>
        </w:rPr>
      </w:pPr>
    </w:p>
    <w:p w:rsidR="00E04FB1" w:rsidRPr="0035678E" w:rsidRDefault="00E04FB1" w:rsidP="00E04FB1">
      <w:pPr>
        <w:rPr>
          <w:rFonts w:ascii="Arial" w:hAnsi="Arial" w:cs="Arial"/>
          <w:b/>
          <w:sz w:val="24"/>
          <w:szCs w:val="24"/>
        </w:rPr>
      </w:pPr>
      <w:r w:rsidRPr="0035678E">
        <w:rPr>
          <w:rFonts w:ascii="Arial" w:hAnsi="Arial" w:cs="Arial"/>
          <w:b/>
          <w:sz w:val="24"/>
          <w:szCs w:val="24"/>
        </w:rPr>
        <w:t>b.</w:t>
      </w:r>
      <w:r w:rsidRPr="0035678E">
        <w:rPr>
          <w:rFonts w:ascii="Arial" w:hAnsi="Arial" w:cs="Arial"/>
          <w:b/>
          <w:sz w:val="24"/>
          <w:szCs w:val="24"/>
        </w:rPr>
        <w:tab/>
        <w:t>Visitas académicas</w:t>
      </w:r>
    </w:p>
    <w:p w:rsidR="00E04FB1" w:rsidRPr="000157DB" w:rsidRDefault="00E04FB1" w:rsidP="00E04FB1">
      <w:pPr>
        <w:rPr>
          <w:rFonts w:ascii="Arial" w:hAnsi="Arial" w:cs="Arial"/>
          <w:sz w:val="24"/>
          <w:szCs w:val="24"/>
        </w:rPr>
      </w:pPr>
    </w:p>
    <w:p w:rsidR="00E04FB1" w:rsidRPr="00D76E59" w:rsidRDefault="00E04FB1" w:rsidP="00E04FB1">
      <w:pPr>
        <w:jc w:val="both"/>
        <w:rPr>
          <w:rFonts w:ascii="Arial" w:hAnsi="Arial" w:cs="Arial"/>
          <w:sz w:val="24"/>
          <w:szCs w:val="24"/>
        </w:rPr>
      </w:pPr>
      <w:r>
        <w:rPr>
          <w:rFonts w:ascii="Arial" w:hAnsi="Arial" w:cs="Arial"/>
          <w:sz w:val="24"/>
          <w:szCs w:val="24"/>
        </w:rPr>
        <w:t>En el primer trimestre del 2010 se recibieron un total de once visitas de estudiantes de diversas instituciones educativas, en su mayoría, institutos y universidades tecnológicas. En digno de mencionar que en febrero Cinvestav recibió a los estudiantes de primaria y secundaria más sobresalientes de Sinaloa, que participan en el Programa Ases.</w:t>
      </w:r>
    </w:p>
    <w:p w:rsidR="00E04FB1" w:rsidRPr="00D76E59" w:rsidRDefault="00E04FB1" w:rsidP="00E04FB1">
      <w:pPr>
        <w:rPr>
          <w:rFonts w:ascii="Arial" w:hAnsi="Arial" w:cs="Arial"/>
          <w:sz w:val="24"/>
          <w:szCs w:val="24"/>
        </w:rPr>
      </w:pPr>
    </w:p>
    <w:tbl>
      <w:tblPr>
        <w:tblW w:w="857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2552"/>
        <w:gridCol w:w="2907"/>
      </w:tblGrid>
      <w:tr w:rsidR="00E04FB1" w:rsidTr="00052A92">
        <w:trPr>
          <w:jc w:val="center"/>
        </w:trPr>
        <w:tc>
          <w:tcPr>
            <w:tcW w:w="3118" w:type="dxa"/>
          </w:tcPr>
          <w:p w:rsidR="00E04FB1" w:rsidRPr="00F570E9" w:rsidRDefault="00E04FB1" w:rsidP="00E04FB1">
            <w:pPr>
              <w:widowControl w:val="0"/>
              <w:jc w:val="center"/>
              <w:rPr>
                <w:rFonts w:ascii="Arial" w:hAnsi="Arial"/>
                <w:b/>
                <w:sz w:val="24"/>
                <w:lang w:val="es-MX"/>
              </w:rPr>
            </w:pPr>
            <w:r w:rsidRPr="00F570E9">
              <w:rPr>
                <w:rFonts w:ascii="Arial" w:hAnsi="Arial"/>
                <w:b/>
                <w:sz w:val="24"/>
                <w:lang w:val="es-MX"/>
              </w:rPr>
              <w:t>Institución</w:t>
            </w:r>
          </w:p>
        </w:tc>
        <w:tc>
          <w:tcPr>
            <w:tcW w:w="2552" w:type="dxa"/>
          </w:tcPr>
          <w:p w:rsidR="00E04FB1" w:rsidRPr="00F570E9" w:rsidRDefault="00E04FB1" w:rsidP="00E04FB1">
            <w:pPr>
              <w:widowControl w:val="0"/>
              <w:jc w:val="center"/>
              <w:rPr>
                <w:rFonts w:ascii="Arial" w:hAnsi="Arial"/>
                <w:b/>
                <w:sz w:val="24"/>
                <w:lang w:val="es-MX"/>
              </w:rPr>
            </w:pPr>
            <w:r w:rsidRPr="00F570E9">
              <w:rPr>
                <w:rFonts w:ascii="Arial" w:hAnsi="Arial"/>
                <w:b/>
                <w:sz w:val="24"/>
                <w:lang w:val="es-MX"/>
              </w:rPr>
              <w:t>Fecha</w:t>
            </w:r>
          </w:p>
        </w:tc>
        <w:tc>
          <w:tcPr>
            <w:tcW w:w="2907" w:type="dxa"/>
          </w:tcPr>
          <w:p w:rsidR="00E04FB1" w:rsidRPr="00F570E9" w:rsidRDefault="00E04FB1" w:rsidP="00E04FB1">
            <w:pPr>
              <w:widowControl w:val="0"/>
              <w:jc w:val="center"/>
              <w:rPr>
                <w:rFonts w:ascii="Arial" w:hAnsi="Arial"/>
                <w:b/>
                <w:sz w:val="24"/>
                <w:lang w:val="es-MX"/>
              </w:rPr>
            </w:pPr>
            <w:r w:rsidRPr="00F570E9">
              <w:rPr>
                <w:rFonts w:ascii="Arial" w:hAnsi="Arial"/>
                <w:b/>
                <w:sz w:val="24"/>
                <w:lang w:val="es-MX"/>
              </w:rPr>
              <w:t>Departamento/Sección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Programa Ases en el Estado de Sinaloa</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17 de febrero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Biología Celular, Biotecnología y Bioingeniería, Física, Química, Matemática Educativa, Sección de Mecatrónica del Departamento de Ingeniería Eléctrica</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de Tlanepantla de Baz, Estado de México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17 de febrero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Superior de Acatlán de Osorio del Estado de Puebla</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22 de febrero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de Tlanepantla de Baz, Estado de México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24 de febrero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de Tlanepantla de Baz, Estado de México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01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Universidad Tecnológica Xicotepec de Juárez</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09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Biotecnología y Bioingeniería</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Universidad Tecnología Xicotepec de Juárez</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11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Biotecnología y Bioingeniería</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 xml:space="preserve">Instituto Tecnológico de </w:t>
            </w:r>
            <w:r w:rsidRPr="00F570E9">
              <w:rPr>
                <w:rFonts w:ascii="Arial" w:hAnsi="Arial"/>
                <w:sz w:val="24"/>
                <w:lang w:val="es-MX"/>
              </w:rPr>
              <w:lastRenderedPageBreak/>
              <w:t>Tlanepantla de Baz, Estado de México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lastRenderedPageBreak/>
              <w:t>11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 xml:space="preserve">Departamento de </w:t>
            </w:r>
            <w:r w:rsidRPr="00F570E9">
              <w:rPr>
                <w:rFonts w:ascii="Arial" w:hAnsi="Arial"/>
                <w:sz w:val="24"/>
                <w:lang w:val="es-MX"/>
              </w:rPr>
              <w:lastRenderedPageBreak/>
              <w:t>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lastRenderedPageBreak/>
              <w:t>Instituto Tecnológico de Pachuca, Hidalgo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12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de Tlanepantla de Baz, Estado de México</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16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Departamento de Computación</w:t>
            </w:r>
          </w:p>
        </w:tc>
      </w:tr>
      <w:tr w:rsidR="00E04FB1" w:rsidRPr="00E239B7" w:rsidTr="00052A92">
        <w:trPr>
          <w:jc w:val="center"/>
        </w:trPr>
        <w:tc>
          <w:tcPr>
            <w:tcW w:w="3118" w:type="dxa"/>
          </w:tcPr>
          <w:p w:rsidR="00E04FB1" w:rsidRPr="00F570E9" w:rsidRDefault="00E04FB1" w:rsidP="00E04FB1">
            <w:pPr>
              <w:widowControl w:val="0"/>
              <w:rPr>
                <w:rFonts w:ascii="Arial" w:hAnsi="Arial"/>
                <w:sz w:val="24"/>
                <w:lang w:val="es-MX"/>
              </w:rPr>
            </w:pPr>
            <w:r w:rsidRPr="00F570E9">
              <w:rPr>
                <w:rFonts w:ascii="Arial" w:hAnsi="Arial"/>
                <w:sz w:val="24"/>
                <w:lang w:val="es-MX"/>
              </w:rPr>
              <w:t>Instituto Tecnológico Superior de Ciudad Serdán, Puebla</w:t>
            </w:r>
          </w:p>
        </w:tc>
        <w:tc>
          <w:tcPr>
            <w:tcW w:w="2552" w:type="dxa"/>
          </w:tcPr>
          <w:p w:rsidR="00E04FB1" w:rsidRPr="00F570E9" w:rsidRDefault="00E04FB1" w:rsidP="00E04FB1">
            <w:pPr>
              <w:widowControl w:val="0"/>
              <w:rPr>
                <w:rFonts w:ascii="Arial" w:hAnsi="Arial"/>
                <w:sz w:val="24"/>
                <w:lang w:val="es-MX"/>
              </w:rPr>
            </w:pPr>
            <w:r w:rsidRPr="00F570E9">
              <w:rPr>
                <w:rFonts w:ascii="Arial" w:hAnsi="Arial"/>
                <w:sz w:val="24"/>
                <w:lang w:val="es-MX"/>
              </w:rPr>
              <w:t>24 de marzo de 2010</w:t>
            </w:r>
          </w:p>
        </w:tc>
        <w:tc>
          <w:tcPr>
            <w:tcW w:w="2907" w:type="dxa"/>
          </w:tcPr>
          <w:p w:rsidR="00E04FB1" w:rsidRPr="00F570E9" w:rsidRDefault="00E04FB1" w:rsidP="00E04FB1">
            <w:pPr>
              <w:widowControl w:val="0"/>
              <w:rPr>
                <w:rFonts w:ascii="Arial" w:hAnsi="Arial"/>
                <w:sz w:val="24"/>
                <w:lang w:val="es-MX"/>
              </w:rPr>
            </w:pPr>
            <w:r w:rsidRPr="00F570E9">
              <w:rPr>
                <w:rFonts w:ascii="Arial" w:hAnsi="Arial"/>
                <w:sz w:val="24"/>
                <w:lang w:val="es-MX"/>
              </w:rPr>
              <w:t>Sección de Mecatrónica, del Departamento de Ingeniería Eléctrica</w:t>
            </w:r>
          </w:p>
        </w:tc>
      </w:tr>
    </w:tbl>
    <w:p w:rsidR="00E04FB1" w:rsidRPr="00D76E59" w:rsidRDefault="00E04FB1" w:rsidP="00E04FB1">
      <w:pPr>
        <w:rPr>
          <w:rFonts w:ascii="Arial" w:hAnsi="Arial" w:cs="Arial"/>
          <w:sz w:val="24"/>
          <w:szCs w:val="24"/>
        </w:rPr>
      </w:pPr>
    </w:p>
    <w:p w:rsidR="00E04FB1" w:rsidRPr="000157DB" w:rsidRDefault="00E04FB1" w:rsidP="00E04FB1">
      <w:pPr>
        <w:rPr>
          <w:rFonts w:ascii="Arial" w:hAnsi="Arial" w:cs="Arial"/>
          <w:sz w:val="24"/>
          <w:szCs w:val="24"/>
        </w:rPr>
      </w:pPr>
    </w:p>
    <w:p w:rsidR="00E04FB1" w:rsidRPr="0035678E" w:rsidRDefault="00E04FB1" w:rsidP="00E04FB1">
      <w:pPr>
        <w:rPr>
          <w:rFonts w:ascii="Arial" w:hAnsi="Arial" w:cs="Arial"/>
          <w:b/>
          <w:sz w:val="24"/>
          <w:szCs w:val="24"/>
        </w:rPr>
      </w:pPr>
      <w:r w:rsidRPr="0035678E">
        <w:rPr>
          <w:rFonts w:ascii="Arial" w:hAnsi="Arial" w:cs="Arial"/>
          <w:b/>
          <w:sz w:val="24"/>
          <w:szCs w:val="24"/>
        </w:rPr>
        <w:t>c.</w:t>
      </w:r>
      <w:r w:rsidRPr="0035678E">
        <w:rPr>
          <w:rFonts w:ascii="Arial" w:hAnsi="Arial" w:cs="Arial"/>
          <w:b/>
          <w:sz w:val="24"/>
          <w:szCs w:val="24"/>
        </w:rPr>
        <w:tab/>
        <w:t>Oportunidades laborales de carácter académico, científico  y tecnológico para la Comunidad Cinvestav</w:t>
      </w:r>
    </w:p>
    <w:p w:rsidR="00E04FB1" w:rsidRPr="000157DB" w:rsidRDefault="00E04FB1" w:rsidP="00E04FB1">
      <w:pPr>
        <w:rPr>
          <w:rFonts w:ascii="Arial" w:hAnsi="Arial" w:cs="Arial"/>
          <w:sz w:val="24"/>
          <w:szCs w:val="24"/>
        </w:rPr>
      </w:pPr>
    </w:p>
    <w:p w:rsidR="00E04FB1" w:rsidRPr="00D76E59" w:rsidRDefault="00E04FB1" w:rsidP="00E04FB1">
      <w:pPr>
        <w:rPr>
          <w:rFonts w:ascii="Arial" w:hAnsi="Arial" w:cs="Arial"/>
          <w:sz w:val="24"/>
          <w:szCs w:val="24"/>
          <w:lang w:val="es-MX"/>
        </w:rPr>
      </w:pPr>
      <w:r w:rsidRPr="00D76E59">
        <w:rPr>
          <w:rFonts w:ascii="Arial" w:hAnsi="Arial" w:cs="Arial"/>
          <w:sz w:val="24"/>
          <w:szCs w:val="24"/>
          <w:lang w:val="es-MX"/>
        </w:rPr>
        <w:t>Durante el periodo de enero a marzo del 2010, como resultado de las labores de la bolsa de tr</w:t>
      </w:r>
      <w:r>
        <w:rPr>
          <w:rFonts w:ascii="Arial" w:hAnsi="Arial" w:cs="Arial"/>
          <w:sz w:val="24"/>
          <w:szCs w:val="24"/>
          <w:lang w:val="es-MX"/>
        </w:rPr>
        <w:t>abajo se publicaron 21 vacantes, que se distribuyeron por orden de aparición de acuerdo con el recuadro siguiente:</w:t>
      </w:r>
    </w:p>
    <w:p w:rsidR="00E04FB1" w:rsidRPr="00D76E59" w:rsidRDefault="00E04FB1" w:rsidP="00E04FB1">
      <w:pPr>
        <w:rPr>
          <w:rFonts w:ascii="Arial" w:hAnsi="Arial" w:cs="Arial"/>
          <w:sz w:val="24"/>
          <w:szCs w:val="24"/>
          <w:lang w:val="es-MX"/>
        </w:rPr>
      </w:pPr>
    </w:p>
    <w:p w:rsidR="00E04FB1" w:rsidRPr="00D76E59" w:rsidRDefault="00E04FB1" w:rsidP="00E04FB1">
      <w:pPr>
        <w:rPr>
          <w:rFonts w:ascii="Arial" w:hAnsi="Arial" w:cs="Arial"/>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2280"/>
      </w:tblGrid>
      <w:tr w:rsidR="00E04FB1" w:rsidRPr="00D76E59" w:rsidTr="00E04FB1">
        <w:trPr>
          <w:jc w:val="center"/>
        </w:trPr>
        <w:tc>
          <w:tcPr>
            <w:tcW w:w="1188" w:type="dxa"/>
          </w:tcPr>
          <w:p w:rsidR="00E04FB1" w:rsidRPr="00D76E59" w:rsidRDefault="00E04FB1" w:rsidP="00E04FB1">
            <w:pPr>
              <w:rPr>
                <w:rFonts w:ascii="Arial" w:hAnsi="Arial" w:cs="Arial"/>
                <w:sz w:val="24"/>
                <w:szCs w:val="24"/>
                <w:lang w:val="es-MX"/>
              </w:rPr>
            </w:pPr>
            <w:r w:rsidRPr="00D76E59">
              <w:rPr>
                <w:rFonts w:ascii="Arial" w:hAnsi="Arial" w:cs="Arial"/>
                <w:sz w:val="24"/>
                <w:szCs w:val="24"/>
                <w:lang w:val="es-MX"/>
              </w:rPr>
              <w:t>ENERO</w:t>
            </w:r>
          </w:p>
        </w:tc>
        <w:tc>
          <w:tcPr>
            <w:tcW w:w="1440" w:type="dxa"/>
          </w:tcPr>
          <w:p w:rsidR="00E04FB1" w:rsidRPr="00D76E59" w:rsidRDefault="00E04FB1" w:rsidP="00E04FB1">
            <w:pPr>
              <w:rPr>
                <w:rFonts w:ascii="Arial" w:hAnsi="Arial" w:cs="Arial"/>
                <w:sz w:val="24"/>
                <w:szCs w:val="24"/>
                <w:lang w:val="es-MX"/>
              </w:rPr>
            </w:pPr>
            <w:r w:rsidRPr="00D76E59">
              <w:rPr>
                <w:rFonts w:ascii="Arial" w:hAnsi="Arial" w:cs="Arial"/>
                <w:sz w:val="24"/>
                <w:szCs w:val="24"/>
                <w:lang w:val="es-MX"/>
              </w:rPr>
              <w:t>FEBRERO</w:t>
            </w:r>
          </w:p>
        </w:tc>
        <w:tc>
          <w:tcPr>
            <w:tcW w:w="2280" w:type="dxa"/>
          </w:tcPr>
          <w:p w:rsidR="00E04FB1" w:rsidRPr="00D76E59" w:rsidRDefault="00E04FB1" w:rsidP="00E04FB1">
            <w:pPr>
              <w:rPr>
                <w:rFonts w:ascii="Arial" w:hAnsi="Arial" w:cs="Arial"/>
                <w:sz w:val="24"/>
                <w:szCs w:val="24"/>
                <w:lang w:val="es-MX"/>
              </w:rPr>
            </w:pPr>
            <w:r w:rsidRPr="00D76E59">
              <w:rPr>
                <w:rFonts w:ascii="Arial" w:hAnsi="Arial" w:cs="Arial"/>
                <w:sz w:val="24"/>
                <w:szCs w:val="24"/>
                <w:lang w:val="es-MX"/>
              </w:rPr>
              <w:t>MARZO</w:t>
            </w:r>
          </w:p>
        </w:tc>
      </w:tr>
      <w:tr w:rsidR="00E04FB1" w:rsidRPr="00D76E59" w:rsidTr="00E04FB1">
        <w:trPr>
          <w:jc w:val="center"/>
        </w:trPr>
        <w:tc>
          <w:tcPr>
            <w:tcW w:w="1188" w:type="dxa"/>
          </w:tcPr>
          <w:p w:rsidR="00E04FB1" w:rsidRPr="00D76E59" w:rsidRDefault="00E04FB1" w:rsidP="00E04FB1">
            <w:pPr>
              <w:jc w:val="center"/>
              <w:rPr>
                <w:rFonts w:ascii="Arial" w:hAnsi="Arial" w:cs="Arial"/>
                <w:sz w:val="24"/>
                <w:szCs w:val="24"/>
                <w:lang w:val="es-MX"/>
              </w:rPr>
            </w:pPr>
            <w:r w:rsidRPr="00D76E59">
              <w:rPr>
                <w:rFonts w:ascii="Arial" w:hAnsi="Arial" w:cs="Arial"/>
                <w:sz w:val="24"/>
                <w:szCs w:val="24"/>
                <w:lang w:val="es-MX"/>
              </w:rPr>
              <w:t>8</w:t>
            </w:r>
          </w:p>
        </w:tc>
        <w:tc>
          <w:tcPr>
            <w:tcW w:w="1440" w:type="dxa"/>
          </w:tcPr>
          <w:p w:rsidR="00E04FB1" w:rsidRPr="00D76E59" w:rsidRDefault="00E04FB1" w:rsidP="00E04FB1">
            <w:pPr>
              <w:jc w:val="center"/>
              <w:rPr>
                <w:rFonts w:ascii="Arial" w:hAnsi="Arial" w:cs="Arial"/>
                <w:sz w:val="24"/>
                <w:szCs w:val="24"/>
                <w:lang w:val="es-MX"/>
              </w:rPr>
            </w:pPr>
            <w:r w:rsidRPr="00D76E59">
              <w:rPr>
                <w:rFonts w:ascii="Arial" w:hAnsi="Arial" w:cs="Arial"/>
                <w:sz w:val="24"/>
                <w:szCs w:val="24"/>
                <w:lang w:val="es-MX"/>
              </w:rPr>
              <w:t>5</w:t>
            </w:r>
          </w:p>
        </w:tc>
        <w:tc>
          <w:tcPr>
            <w:tcW w:w="2280" w:type="dxa"/>
          </w:tcPr>
          <w:p w:rsidR="00E04FB1" w:rsidRPr="00D76E59" w:rsidRDefault="00E04FB1" w:rsidP="00E04FB1">
            <w:pPr>
              <w:jc w:val="center"/>
              <w:rPr>
                <w:rFonts w:ascii="Arial" w:hAnsi="Arial" w:cs="Arial"/>
                <w:sz w:val="24"/>
                <w:szCs w:val="24"/>
                <w:lang w:val="es-MX"/>
              </w:rPr>
            </w:pPr>
            <w:r w:rsidRPr="00D76E59">
              <w:rPr>
                <w:rFonts w:ascii="Arial" w:hAnsi="Arial" w:cs="Arial"/>
                <w:sz w:val="24"/>
                <w:szCs w:val="24"/>
                <w:lang w:val="es-MX"/>
              </w:rPr>
              <w:t>8</w:t>
            </w:r>
          </w:p>
        </w:tc>
      </w:tr>
    </w:tbl>
    <w:p w:rsidR="00E04FB1" w:rsidRDefault="00E04FB1" w:rsidP="00E04FB1">
      <w:pPr>
        <w:rPr>
          <w:rFonts w:ascii="Arial" w:hAnsi="Arial" w:cs="Arial"/>
          <w:sz w:val="24"/>
          <w:szCs w:val="24"/>
        </w:rPr>
      </w:pPr>
    </w:p>
    <w:p w:rsidR="00E04FB1" w:rsidRPr="000157DB" w:rsidRDefault="00E04FB1" w:rsidP="00E04FB1">
      <w:pPr>
        <w:rPr>
          <w:rFonts w:ascii="Arial" w:hAnsi="Arial" w:cs="Arial"/>
          <w:sz w:val="24"/>
          <w:szCs w:val="24"/>
        </w:rPr>
      </w:pPr>
    </w:p>
    <w:p w:rsidR="00E04FB1" w:rsidRPr="00140A95" w:rsidRDefault="00E04FB1" w:rsidP="00052A92">
      <w:pPr>
        <w:rPr>
          <w:rFonts w:ascii="Arial" w:hAnsi="Arial" w:cs="Arial"/>
          <w:b/>
          <w:sz w:val="24"/>
          <w:szCs w:val="24"/>
        </w:rPr>
      </w:pPr>
      <w:r w:rsidRPr="00140A95">
        <w:rPr>
          <w:rFonts w:ascii="Arial" w:hAnsi="Arial" w:cs="Arial"/>
          <w:b/>
          <w:sz w:val="24"/>
          <w:szCs w:val="24"/>
        </w:rPr>
        <w:t>d.</w:t>
      </w:r>
      <w:r>
        <w:rPr>
          <w:rFonts w:ascii="Arial" w:hAnsi="Arial" w:cs="Arial"/>
          <w:b/>
          <w:sz w:val="24"/>
          <w:szCs w:val="24"/>
        </w:rPr>
        <w:t xml:space="preserve"> </w:t>
      </w:r>
      <w:r w:rsidRPr="00140A95">
        <w:rPr>
          <w:rFonts w:ascii="Arial" w:hAnsi="Arial" w:cs="Arial"/>
          <w:b/>
          <w:sz w:val="24"/>
          <w:szCs w:val="24"/>
        </w:rPr>
        <w:t xml:space="preserve"> Medios impresos</w:t>
      </w:r>
    </w:p>
    <w:p w:rsidR="00E04FB1" w:rsidRDefault="00E04FB1" w:rsidP="00E04FB1">
      <w:pPr>
        <w:rPr>
          <w:rFonts w:ascii="Arial" w:hAnsi="Arial" w:cs="Arial"/>
          <w:sz w:val="24"/>
          <w:szCs w:val="24"/>
        </w:rPr>
      </w:pPr>
    </w:p>
    <w:p w:rsidR="00E04FB1" w:rsidRPr="000157DB" w:rsidRDefault="00E04FB1" w:rsidP="00E04FB1">
      <w:pPr>
        <w:jc w:val="both"/>
        <w:rPr>
          <w:rFonts w:ascii="Arial" w:hAnsi="Arial" w:cs="Arial"/>
          <w:sz w:val="24"/>
          <w:szCs w:val="24"/>
        </w:rPr>
      </w:pPr>
      <w:r>
        <w:rPr>
          <w:rFonts w:ascii="Arial" w:hAnsi="Arial" w:cs="Arial"/>
          <w:sz w:val="24"/>
          <w:szCs w:val="24"/>
        </w:rPr>
        <w:t>El número 4 del volumen 2 de la nueva época de la revista Avance y Perspectiva apareció en el primer trimestre del 2010, edición en la que se dedica espacio para hablar del legado de Augusto García González, en el área de altas energías, al igual que de los pormenores del programa Cinvesniñ@s y de la entrega del doctorado Honoris Causa del Cinvestav a Mario Molina, Premio Nobel de Química 1995.</w:t>
      </w:r>
    </w:p>
    <w:p w:rsidR="00E04FB1" w:rsidRDefault="00E04FB1" w:rsidP="00E04FB1">
      <w:pPr>
        <w:rPr>
          <w:rFonts w:ascii="Arial" w:hAnsi="Arial" w:cs="Arial"/>
          <w:b/>
        </w:rPr>
      </w:pPr>
    </w:p>
    <w:p w:rsidR="00E04FB1" w:rsidRDefault="00E04FB1" w:rsidP="00E04FB1">
      <w:pPr>
        <w:rPr>
          <w:rFonts w:ascii="Arial" w:hAnsi="Arial" w:cs="Arial"/>
          <w:b/>
        </w:rPr>
      </w:pPr>
    </w:p>
    <w:p w:rsidR="00E04FB1" w:rsidRDefault="00E04FB1" w:rsidP="00E04FB1">
      <w:pPr>
        <w:rPr>
          <w:rFonts w:ascii="Arial" w:hAnsi="Arial" w:cs="Arial"/>
          <w:b/>
        </w:rPr>
      </w:pPr>
    </w:p>
    <w:p w:rsidR="00E04FB1" w:rsidRDefault="00E04FB1" w:rsidP="00E04FB1">
      <w:pPr>
        <w:rPr>
          <w:rFonts w:ascii="Arial" w:hAnsi="Arial" w:cs="Arial"/>
          <w:b/>
        </w:rPr>
      </w:pPr>
    </w:p>
    <w:p w:rsidR="00FB681D" w:rsidRDefault="00FB681D"/>
    <w:sectPr w:rsidR="00FB68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rsids>
    <w:rsidRoot w:val="00E04FB1"/>
    <w:rsid w:val="00000EEC"/>
    <w:rsid w:val="00002F90"/>
    <w:rsid w:val="00015A07"/>
    <w:rsid w:val="0002782C"/>
    <w:rsid w:val="00052A92"/>
    <w:rsid w:val="0007084A"/>
    <w:rsid w:val="00081E00"/>
    <w:rsid w:val="000907F8"/>
    <w:rsid w:val="000B0DE8"/>
    <w:rsid w:val="000B75CD"/>
    <w:rsid w:val="000C6082"/>
    <w:rsid w:val="000D2FE7"/>
    <w:rsid w:val="00106C4D"/>
    <w:rsid w:val="00130FDC"/>
    <w:rsid w:val="0013344F"/>
    <w:rsid w:val="00151E9C"/>
    <w:rsid w:val="00156EC2"/>
    <w:rsid w:val="00167371"/>
    <w:rsid w:val="00174F86"/>
    <w:rsid w:val="00195058"/>
    <w:rsid w:val="001A2047"/>
    <w:rsid w:val="001A60FD"/>
    <w:rsid w:val="001B56F5"/>
    <w:rsid w:val="001B67B2"/>
    <w:rsid w:val="001C22A4"/>
    <w:rsid w:val="001C5337"/>
    <w:rsid w:val="001C6099"/>
    <w:rsid w:val="001D0278"/>
    <w:rsid w:val="00217F7C"/>
    <w:rsid w:val="00223011"/>
    <w:rsid w:val="00227130"/>
    <w:rsid w:val="002409A2"/>
    <w:rsid w:val="00250062"/>
    <w:rsid w:val="00263502"/>
    <w:rsid w:val="00276593"/>
    <w:rsid w:val="0029301C"/>
    <w:rsid w:val="002C0025"/>
    <w:rsid w:val="002C1FB4"/>
    <w:rsid w:val="002C58DC"/>
    <w:rsid w:val="002D36D5"/>
    <w:rsid w:val="002E23D7"/>
    <w:rsid w:val="002F0772"/>
    <w:rsid w:val="002F32A9"/>
    <w:rsid w:val="003009F9"/>
    <w:rsid w:val="00301AEC"/>
    <w:rsid w:val="0030719F"/>
    <w:rsid w:val="00323EC4"/>
    <w:rsid w:val="00342C7C"/>
    <w:rsid w:val="003520B4"/>
    <w:rsid w:val="0036332F"/>
    <w:rsid w:val="00376AF7"/>
    <w:rsid w:val="003774F8"/>
    <w:rsid w:val="003C3B56"/>
    <w:rsid w:val="003C3E95"/>
    <w:rsid w:val="003D2E6A"/>
    <w:rsid w:val="003D55D8"/>
    <w:rsid w:val="003E34EF"/>
    <w:rsid w:val="003E37DB"/>
    <w:rsid w:val="003E644F"/>
    <w:rsid w:val="003F2A79"/>
    <w:rsid w:val="00405796"/>
    <w:rsid w:val="00415983"/>
    <w:rsid w:val="0041696F"/>
    <w:rsid w:val="00426222"/>
    <w:rsid w:val="00453FCA"/>
    <w:rsid w:val="00485B1B"/>
    <w:rsid w:val="004970B5"/>
    <w:rsid w:val="004B210E"/>
    <w:rsid w:val="004B465D"/>
    <w:rsid w:val="004D12F1"/>
    <w:rsid w:val="004D261C"/>
    <w:rsid w:val="004F7292"/>
    <w:rsid w:val="00515064"/>
    <w:rsid w:val="00534F8B"/>
    <w:rsid w:val="00542DDC"/>
    <w:rsid w:val="005434B4"/>
    <w:rsid w:val="00545CAC"/>
    <w:rsid w:val="00550845"/>
    <w:rsid w:val="005538E0"/>
    <w:rsid w:val="00556827"/>
    <w:rsid w:val="00580DB2"/>
    <w:rsid w:val="00584ED5"/>
    <w:rsid w:val="0059223B"/>
    <w:rsid w:val="005A2490"/>
    <w:rsid w:val="005A49B0"/>
    <w:rsid w:val="005B6246"/>
    <w:rsid w:val="005D35D0"/>
    <w:rsid w:val="005D6283"/>
    <w:rsid w:val="005E6DF1"/>
    <w:rsid w:val="005F2256"/>
    <w:rsid w:val="00607E32"/>
    <w:rsid w:val="00626F10"/>
    <w:rsid w:val="00634A98"/>
    <w:rsid w:val="00642B98"/>
    <w:rsid w:val="00643751"/>
    <w:rsid w:val="0065053D"/>
    <w:rsid w:val="0065290E"/>
    <w:rsid w:val="00661694"/>
    <w:rsid w:val="0067125E"/>
    <w:rsid w:val="0068190A"/>
    <w:rsid w:val="00690517"/>
    <w:rsid w:val="006938C6"/>
    <w:rsid w:val="00695388"/>
    <w:rsid w:val="006A1E4B"/>
    <w:rsid w:val="006A749C"/>
    <w:rsid w:val="006E211F"/>
    <w:rsid w:val="006E2E5D"/>
    <w:rsid w:val="00703445"/>
    <w:rsid w:val="007247F9"/>
    <w:rsid w:val="00726EC7"/>
    <w:rsid w:val="00734320"/>
    <w:rsid w:val="007426B8"/>
    <w:rsid w:val="00747418"/>
    <w:rsid w:val="007711E7"/>
    <w:rsid w:val="00772FD6"/>
    <w:rsid w:val="0079449D"/>
    <w:rsid w:val="00794CD6"/>
    <w:rsid w:val="00796C47"/>
    <w:rsid w:val="007D44D7"/>
    <w:rsid w:val="007E3176"/>
    <w:rsid w:val="007F473A"/>
    <w:rsid w:val="007F6E51"/>
    <w:rsid w:val="008046C3"/>
    <w:rsid w:val="00812D5E"/>
    <w:rsid w:val="008240C9"/>
    <w:rsid w:val="00824987"/>
    <w:rsid w:val="00826FC0"/>
    <w:rsid w:val="00861B07"/>
    <w:rsid w:val="0087302B"/>
    <w:rsid w:val="0087600C"/>
    <w:rsid w:val="00881AAC"/>
    <w:rsid w:val="00895106"/>
    <w:rsid w:val="008A7008"/>
    <w:rsid w:val="008A72F6"/>
    <w:rsid w:val="008A7631"/>
    <w:rsid w:val="008B0136"/>
    <w:rsid w:val="008B5EAC"/>
    <w:rsid w:val="00903C71"/>
    <w:rsid w:val="0091016B"/>
    <w:rsid w:val="00910DFF"/>
    <w:rsid w:val="00913386"/>
    <w:rsid w:val="00914826"/>
    <w:rsid w:val="00926BCB"/>
    <w:rsid w:val="009404B2"/>
    <w:rsid w:val="0094665C"/>
    <w:rsid w:val="00954B43"/>
    <w:rsid w:val="00966D04"/>
    <w:rsid w:val="0097054A"/>
    <w:rsid w:val="009775F4"/>
    <w:rsid w:val="009B0378"/>
    <w:rsid w:val="009B5000"/>
    <w:rsid w:val="009C6FF2"/>
    <w:rsid w:val="009E33B9"/>
    <w:rsid w:val="00A04077"/>
    <w:rsid w:val="00A04D13"/>
    <w:rsid w:val="00A05DE5"/>
    <w:rsid w:val="00A062FA"/>
    <w:rsid w:val="00A06406"/>
    <w:rsid w:val="00A10262"/>
    <w:rsid w:val="00A1060E"/>
    <w:rsid w:val="00A204E1"/>
    <w:rsid w:val="00A20ED9"/>
    <w:rsid w:val="00A25E08"/>
    <w:rsid w:val="00A47B55"/>
    <w:rsid w:val="00AB05BF"/>
    <w:rsid w:val="00AB33C2"/>
    <w:rsid w:val="00AB5E01"/>
    <w:rsid w:val="00AB6E8A"/>
    <w:rsid w:val="00AD0B8B"/>
    <w:rsid w:val="00AD6841"/>
    <w:rsid w:val="00AF5F8D"/>
    <w:rsid w:val="00B25E56"/>
    <w:rsid w:val="00B66DA2"/>
    <w:rsid w:val="00B706B3"/>
    <w:rsid w:val="00B92025"/>
    <w:rsid w:val="00BB6E68"/>
    <w:rsid w:val="00BC42FB"/>
    <w:rsid w:val="00BC569F"/>
    <w:rsid w:val="00BC6BB5"/>
    <w:rsid w:val="00C06712"/>
    <w:rsid w:val="00C0696A"/>
    <w:rsid w:val="00C10D7B"/>
    <w:rsid w:val="00C16D13"/>
    <w:rsid w:val="00C20783"/>
    <w:rsid w:val="00C2357A"/>
    <w:rsid w:val="00C529E3"/>
    <w:rsid w:val="00C67B98"/>
    <w:rsid w:val="00C76782"/>
    <w:rsid w:val="00C7685A"/>
    <w:rsid w:val="00C76A97"/>
    <w:rsid w:val="00C823A6"/>
    <w:rsid w:val="00C852D0"/>
    <w:rsid w:val="00C85E42"/>
    <w:rsid w:val="00C97572"/>
    <w:rsid w:val="00CA5F90"/>
    <w:rsid w:val="00CA6CE2"/>
    <w:rsid w:val="00CB0624"/>
    <w:rsid w:val="00CC1A01"/>
    <w:rsid w:val="00CD604D"/>
    <w:rsid w:val="00CE3E3E"/>
    <w:rsid w:val="00D24CA0"/>
    <w:rsid w:val="00D43EE2"/>
    <w:rsid w:val="00D5065E"/>
    <w:rsid w:val="00D6764B"/>
    <w:rsid w:val="00D85EA8"/>
    <w:rsid w:val="00D86AD4"/>
    <w:rsid w:val="00DA15BB"/>
    <w:rsid w:val="00DB516B"/>
    <w:rsid w:val="00DB679A"/>
    <w:rsid w:val="00DC435C"/>
    <w:rsid w:val="00DD0D94"/>
    <w:rsid w:val="00DF4912"/>
    <w:rsid w:val="00DF622E"/>
    <w:rsid w:val="00E04043"/>
    <w:rsid w:val="00E04FB1"/>
    <w:rsid w:val="00E07982"/>
    <w:rsid w:val="00E15CC7"/>
    <w:rsid w:val="00E22A51"/>
    <w:rsid w:val="00E339D1"/>
    <w:rsid w:val="00E36EDA"/>
    <w:rsid w:val="00E4009C"/>
    <w:rsid w:val="00E42978"/>
    <w:rsid w:val="00E56C2C"/>
    <w:rsid w:val="00E60C67"/>
    <w:rsid w:val="00E65658"/>
    <w:rsid w:val="00E7470C"/>
    <w:rsid w:val="00E8592B"/>
    <w:rsid w:val="00E860B4"/>
    <w:rsid w:val="00EA69C3"/>
    <w:rsid w:val="00ED3066"/>
    <w:rsid w:val="00EE6773"/>
    <w:rsid w:val="00F4282C"/>
    <w:rsid w:val="00F5205B"/>
    <w:rsid w:val="00F74B52"/>
    <w:rsid w:val="00F76A68"/>
    <w:rsid w:val="00F801E1"/>
    <w:rsid w:val="00F819A0"/>
    <w:rsid w:val="00F85116"/>
    <w:rsid w:val="00F87239"/>
    <w:rsid w:val="00F907C7"/>
    <w:rsid w:val="00F90928"/>
    <w:rsid w:val="00F92029"/>
    <w:rsid w:val="00F9323A"/>
    <w:rsid w:val="00FB681D"/>
    <w:rsid w:val="00FD031C"/>
    <w:rsid w:val="00FD05BF"/>
    <w:rsid w:val="00FE07AF"/>
    <w:rsid w:val="00FF5F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FB1"/>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5</vt:lpstr>
    </vt:vector>
  </TitlesOfParts>
  <Company>CINVESTAV</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CINVESTAV</dc:creator>
  <cp:keywords/>
  <dc:description/>
  <cp:lastModifiedBy> </cp:lastModifiedBy>
  <cp:revision>2</cp:revision>
  <dcterms:created xsi:type="dcterms:W3CDTF">2010-07-06T22:26:00Z</dcterms:created>
  <dcterms:modified xsi:type="dcterms:W3CDTF">2010-07-06T22:26:00Z</dcterms:modified>
</cp:coreProperties>
</file>